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Calibri" w:hAnsi="Calibri"/>
          <w:color w:val="64748B"/>
          <w:sz w:val="17"/>
        </w:rPr>
        <w:t>SESSION 4 OF 17</w:t>
      </w:r>
    </w:p>
    <w:p>
      <w:pPr>
        <w:spacing w:after="40"/>
      </w:pPr>
      <w:r>
        <w:rPr>
          <w:rFonts w:ascii="Calibri" w:hAnsi="Calibri"/>
          <w:color w:val="1B3A4B"/>
          <w:sz w:val="38"/>
        </w:rPr>
        <w:t>The Line</w:t>
      </w:r>
    </w:p>
    <w:p>
      <w:pPr>
        <w:spacing w:after="160"/>
      </w:pPr>
      <w:r>
        <w:rPr>
          <w:i/>
          <w:color w:val="64748B"/>
          <w:sz w:val="18"/>
        </w:rPr>
        <w:t>A skills group, not therapy. Your facilitator is a peer, not a clinician.</w:t>
      </w:r>
    </w:p>
    <w:p>
      <w:pPr>
        <w:pBdr>
          <w:top w:val="single" w:sz="18" w:space="6" w:color="000000"/>
          <w:left w:val="single" w:sz="18" w:space="6" w:color="000000"/>
        </w:pBdr>
        <w:spacing w:before="40" w:after="0"/>
      </w:pPr>
      <w:r>
        <w:rPr>
          <w:rFonts w:ascii="Calibri" w:hAnsi="Calibri"/>
          <w:b/>
          <w:color w:val="000000"/>
          <w:sz w:val="20"/>
        </w:rPr>
        <w:t>IF YOU ARE NOT SAFE — ANY TIME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9-8-8  </w:t>
      </w:r>
      <w:r>
        <w:rPr>
          <w:color w:val="64748B"/>
          <w:sz w:val="18"/>
        </w:rPr>
        <w:t>Canada's Suicide Crisis Helpline — call or text,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911  </w:t>
      </w:r>
      <w:r>
        <w:rPr>
          <w:color w:val="64748B"/>
          <w:sz w:val="18"/>
        </w:rPr>
        <w:t>Emergency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1-800-668-6868  </w:t>
      </w:r>
      <w:r>
        <w:rPr>
          <w:color w:val="64748B"/>
          <w:sz w:val="18"/>
        </w:rPr>
        <w:t>Kids Help Phone — or text CONNECT to 686868,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1-855-242-3310  </w:t>
      </w:r>
      <w:r>
        <w:rPr>
          <w:color w:val="64748B"/>
          <w:sz w:val="18"/>
        </w:rPr>
        <w:t>Hope for Wellness — Indigenous crisis support, 24 hours</w:t>
      </w:r>
    </w:p>
    <w:p>
      <w:pPr>
        <w:pBdr>
          <w:left w:val="single" w:sz="18" w:space="6" w:color="000000"/>
        </w:pBdr>
        <w:spacing w:before="60" w:after="0"/>
        <w:ind w:left="29"/>
      </w:pPr>
      <w:r>
        <w:rPr>
          <w:rFonts w:ascii="Calibri" w:hAnsi="Calibri"/>
          <w:b/>
          <w:color w:val="64748B"/>
          <w:sz w:val="16"/>
        </w:rPr>
        <w:t xml:space="preserve">  In British Columbia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310-6789  </w:t>
      </w:r>
      <w:r>
        <w:rPr>
          <w:color w:val="64748B"/>
          <w:sz w:val="17"/>
        </w:rPr>
        <w:t>BC Mental Health Support Line — no area code needed,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1-800-784-2433  </w:t>
      </w:r>
      <w:r>
        <w:rPr>
          <w:color w:val="64748B"/>
          <w:sz w:val="17"/>
        </w:rPr>
        <w:t>1-800-SUICIDE — British Columbia,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1-800-588-8717  </w:t>
      </w:r>
      <w:r>
        <w:rPr>
          <w:color w:val="64748B"/>
          <w:sz w:val="17"/>
        </w:rPr>
        <w:t>KUU-US — Indigenous crisis line for BC,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64748B"/>
          <w:sz w:val="18"/>
        </w:rPr>
        <w:t xml:space="preserve">  Local: </w:t>
      </w:r>
      <w:r>
        <w:rPr>
          <w:color w:val="64748B"/>
          <w:sz w:val="18"/>
        </w:rPr>
        <w:t>______________________________________________</w:t>
      </w:r>
    </w:p>
    <w:p>
      <w:pPr>
        <w:pBdr>
          <w:left w:val="single" w:sz="18" w:space="6" w:color="000000"/>
          <w:bottom w:val="single" w:sz="18" w:space="6" w:color="000000"/>
        </w:pBdr>
        <w:spacing w:after="180"/>
      </w:pPr>
      <w:r>
        <w:rPr>
          <w:i/>
          <w:color w:val="64748B"/>
          <w:sz w:val="17"/>
        </w:rPr>
        <w:t xml:space="preserve">  These numbers are for using, not for remembering.</w:t>
      </w: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Line Protocol</w:t>
      </w:r>
    </w:p>
    <w:p>
      <w:r>
        <w:rPr>
          <w:rFonts w:ascii="Calibri" w:hAnsi="Calibri"/>
          <w:b/>
          <w:i w:val="0"/>
          <w:color w:val="000000"/>
          <w:sz w:val="21"/>
        </w:rPr>
        <w:t>Where it stops.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Line Protocol works by finding the moment. Some of what you are running does</w:t>
      </w:r>
    </w:p>
    <w:p>
      <w:r>
        <w:rPr>
          <w:rFonts w:ascii="Calibri" w:hAnsi="Calibri"/>
          <w:b w:val="0"/>
          <w:i w:val="0"/>
          <w:color w:val="000000"/>
          <w:sz w:val="21"/>
        </w:rPr>
        <w:t>not have one. Work the ones that have a moment attached. When you reach one that does not, that is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edge of the method and not a failure of it, and it is certainly not a failure of yours.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Name the feeling</w:t>
      </w:r>
      <w:r>
        <w:rPr>
          <w:rFonts w:ascii="Calibri" w:hAnsi="Calibri"/>
          <w:b w:val="0"/>
          <w:i w:val="0"/>
          <w:color w:val="000000"/>
          <w:sz w:val="21"/>
        </w:rPr>
        <w:t xml:space="preserve"> that is present. How intense, 0–10?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Ask:</w:t>
      </w:r>
      <w:r>
        <w:rPr>
          <w:rFonts w:ascii="Calibri" w:hAnsi="Calibri"/>
          <w:b w:val="0"/>
          <w:i w:val="0"/>
          <w:color w:val="000000"/>
          <w:sz w:val="21"/>
        </w:rPr>
        <w:t xml:space="preserve"> is this response matching what is actually happening right now, or is it larger?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If larger:</w:t>
      </w:r>
      <w:r>
        <w:rPr>
          <w:rFonts w:ascii="Calibri" w:hAnsi="Calibri"/>
          <w:b w:val="0"/>
          <w:i w:val="0"/>
          <w:color w:val="000000"/>
          <w:sz w:val="21"/>
        </w:rPr>
        <w:t xml:space="preserve"> what does this remind me of? When have I felt this before?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Name one concrete difference</w:t>
      </w:r>
      <w:r>
        <w:rPr>
          <w:rFonts w:ascii="Calibri" w:hAnsi="Calibri"/>
          <w:b w:val="0"/>
          <w:i w:val="0"/>
          <w:color w:val="000000"/>
          <w:sz w:val="21"/>
        </w:rPr>
        <w:t xml:space="preserve"> between then and now.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Name one resource</w:t>
      </w:r>
      <w:r>
        <w:rPr>
          <w:rFonts w:ascii="Calibri" w:hAnsi="Calibri"/>
          <w:b w:val="0"/>
          <w:i w:val="0"/>
          <w:color w:val="000000"/>
          <w:sz w:val="21"/>
        </w:rPr>
        <w:t xml:space="preserve"> you have now that you did not have then.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Choose your response</w:t>
      </w:r>
      <w:r>
        <w:rPr>
          <w:rFonts w:ascii="Calibri" w:hAnsi="Calibri"/>
          <w:b w:val="0"/>
          <w:i w:val="0"/>
          <w:color w:val="000000"/>
          <w:sz w:val="21"/>
        </w:rPr>
        <w:t xml:space="preserve"> based on the present situation, not the past event.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Close the Loop.</w:t>
      </w:r>
    </w:p>
    <w:p>
      <w:r>
        <w:rPr>
          <w:rFonts w:ascii="Calibri" w:hAnsi="Calibri"/>
          <w:b/>
          <w:i w:val="0"/>
          <w:color w:val="000000"/>
          <w:sz w:val="21"/>
        </w:rPr>
        <w:t>Steps 4 and 5 are the whole tool.</w:t>
      </w:r>
      <w:r>
        <w:rPr>
          <w:rFonts w:ascii="Calibri" w:hAnsi="Calibri"/>
          <w:b w:val="0"/>
          <w:i w:val="0"/>
          <w:color w:val="000000"/>
          <w:sz w:val="21"/>
        </w:rPr>
        <w:t xml:space="preserve"> One difference. One resource. You don't have to understand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past event, resolve it, or tell anyone what it was.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Fast version — under sixty seconds</w:t>
      </w:r>
    </w:p>
    <w:p>
      <w:r>
        <w:rPr>
          <w:rFonts w:ascii="Calibri" w:hAnsi="Calibri"/>
          <w:b w:val="0"/>
          <w:i w:val="0"/>
          <w:color w:val="000000"/>
          <w:sz w:val="21"/>
        </w:rPr>
        <w:t>Feel — is this bigger than the situation warrants? Name — when have I felt this before? Separate — one</w:t>
      </w:r>
    </w:p>
    <w:p>
      <w:r>
        <w:rPr>
          <w:rFonts w:ascii="Calibri" w:hAnsi="Calibri"/>
          <w:b w:val="0"/>
          <w:i w:val="0"/>
          <w:color w:val="000000"/>
          <w:sz w:val="21"/>
        </w:rPr>
        <w:t>difference between then and now. Choose — respond to now.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diagnostic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The signal isn't that you're upset. The signal is the </w:t>
      </w:r>
      <w:r>
        <w:rPr>
          <w:rFonts w:ascii="Calibri" w:hAnsi="Calibri"/>
          <w:b/>
          <w:i w:val="0"/>
          <w:color w:val="000000"/>
          <w:sz w:val="21"/>
        </w:rPr>
        <w:t>mismatch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a three-out-of-ten situation</w:t>
      </w:r>
    </w:p>
    <w:p>
      <w:r>
        <w:rPr>
          <w:rFonts w:ascii="Calibri" w:hAnsi="Calibri"/>
          <w:b w:val="0"/>
          <w:i w:val="0"/>
          <w:color w:val="000000"/>
          <w:sz w:val="21"/>
        </w:rPr>
        <w:t>producing an eight-out-of-ten reaction. That gap is the Line talking.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A situation is producing a reaction that feels disproportionate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A specific person, place or sensory cue reliably triggers you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You're reacting to what you predict will happen based on past experience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want an early-warning system for your own patterns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feeling may not get smaller. You will know whether you are answering this situation or an older</w:t>
      </w:r>
    </w:p>
    <w:p>
      <w:r>
        <w:rPr>
          <w:rFonts w:ascii="Calibri" w:hAnsi="Calibri"/>
          <w:b w:val="0"/>
          <w:i w:val="0"/>
          <w:color w:val="000000"/>
          <w:sz w:val="21"/>
        </w:rPr>
        <w:t>one. That is a different question from whether it hurts.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"That happened before. This is now."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Why it works</w:t>
      </w:r>
    </w:p>
    <w:p>
      <w:r>
        <w:rPr>
          <w:rFonts w:ascii="Calibri" w:hAnsi="Calibri"/>
          <w:b/>
          <w:i w:val="0"/>
          <w:color w:val="000000"/>
          <w:sz w:val="21"/>
        </w:rPr>
        <w:t>The reaction isn't irrational.</w:t>
      </w:r>
      <w:r>
        <w:rPr>
          <w:rFonts w:ascii="Calibri" w:hAnsi="Calibri"/>
          <w:b w:val="0"/>
          <w:i w:val="0"/>
          <w:color w:val="000000"/>
          <w:sz w:val="21"/>
        </w:rPr>
        <w:t xml:space="preserve"> Associative memory networks operate below conscious awareness. A tone</w:t>
      </w:r>
    </w:p>
    <w:p>
      <w:r>
        <w:rPr>
          <w:rFonts w:ascii="Calibri" w:hAnsi="Calibri"/>
          <w:b w:val="0"/>
          <w:i w:val="0"/>
          <w:color w:val="000000"/>
          <w:sz w:val="21"/>
        </w:rPr>
        <w:t>of voice, a smell, the way someone stands — any of these can activate a network formed in a completely</w:t>
      </w:r>
    </w:p>
    <w:p>
      <w:r>
        <w:rPr>
          <w:rFonts w:ascii="Calibri" w:hAnsi="Calibri"/>
          <w:b w:val="0"/>
          <w:i w:val="0"/>
          <w:color w:val="000000"/>
          <w:sz w:val="21"/>
        </w:rPr>
        <w:t>different context, triggering the physiological and emotional response that belonged to the original</w:t>
      </w:r>
    </w:p>
    <w:p>
      <w:r>
        <w:rPr>
          <w:rFonts w:ascii="Calibri" w:hAnsi="Calibri"/>
          <w:b w:val="0"/>
          <w:i w:val="0"/>
          <w:color w:val="000000"/>
          <w:sz w:val="21"/>
        </w:rPr>
        <w:t>event. That is the system doing exactly what it was built to do: use past experience to predict present</w:t>
      </w:r>
    </w:p>
    <w:p>
      <w:r>
        <w:rPr>
          <w:rFonts w:ascii="Calibri" w:hAnsi="Calibri"/>
          <w:b w:val="0"/>
          <w:i w:val="0"/>
          <w:color w:val="000000"/>
          <w:sz w:val="21"/>
        </w:rPr>
        <w:t>threat. The problem arises only when then and now are not equivalent.</w:t>
      </w:r>
    </w:p>
    <w:p>
      <w:r>
        <w:rPr>
          <w:rFonts w:ascii="Calibri" w:hAnsi="Calibri"/>
          <w:b/>
          <w:i w:val="0"/>
          <w:color w:val="000000"/>
          <w:sz w:val="21"/>
        </w:rPr>
        <w:t>Memory is a reconstruction, not a recording.</w:t>
      </w:r>
      <w:r>
        <w:rPr>
          <w:rFonts w:ascii="Calibri" w:hAnsi="Calibri"/>
          <w:b w:val="0"/>
          <w:i w:val="0"/>
          <w:color w:val="000000"/>
          <w:sz w:val="21"/>
        </w:rPr>
        <w:t xml:space="preserve"> Elizabeth Loftus's work on reconstructive memory</w:t>
      </w:r>
    </w:p>
    <w:p>
      <w:r>
        <w:rPr>
          <w:rFonts w:ascii="Calibri" w:hAnsi="Calibri"/>
          <w:b w:val="0"/>
          <w:i w:val="0"/>
          <w:color w:val="000000"/>
          <w:sz w:val="21"/>
        </w:rPr>
        <w:t>established that each time a memory is retrieved it is rebuilt from the current state of the neural</w:t>
      </w:r>
    </w:p>
    <w:p>
      <w:r>
        <w:rPr>
          <w:rFonts w:ascii="Calibri" w:hAnsi="Calibri"/>
          <w:b w:val="0"/>
          <w:i w:val="0"/>
          <w:color w:val="000000"/>
          <w:sz w:val="21"/>
        </w:rPr>
        <w:t>network — your present mood, your current beliefs, and your body's regulatory state all shape what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memory "contains" at the moment of recall (Loftus, 1996). So the version of the past event</w:t>
      </w:r>
    </w:p>
    <w:p>
      <w:r>
        <w:rPr>
          <w:rFonts w:ascii="Calibri" w:hAnsi="Calibri"/>
          <w:b w:val="0"/>
          <w:i w:val="0"/>
          <w:color w:val="000000"/>
          <w:sz w:val="21"/>
        </w:rPr>
        <w:t>driving today's reaction may not be the event; it's the event as reconstructed through everything</w:t>
      </w:r>
    </w:p>
    <w:p>
      <w:r>
        <w:rPr>
          <w:rFonts w:ascii="Calibri" w:hAnsi="Calibri"/>
          <w:b w:val="0"/>
          <w:i w:val="0"/>
          <w:color w:val="000000"/>
          <w:sz w:val="21"/>
        </w:rPr>
        <w:t>that happened since. That is not a reason to distrust yourself. It's the reason the reaction can</w:t>
      </w:r>
    </w:p>
    <w:p>
      <w:r>
        <w:rPr>
          <w:rFonts w:ascii="Calibri" w:hAnsi="Calibri"/>
          <w:b w:val="0"/>
          <w:i w:val="0"/>
          <w:color w:val="000000"/>
          <w:sz w:val="21"/>
        </w:rPr>
        <w:t>change without the past changing.</w:t>
      </w:r>
    </w:p>
    <w:p>
      <w:r>
        <w:rPr>
          <w:rFonts w:ascii="Calibri" w:hAnsi="Calibri"/>
          <w:b/>
          <w:i w:val="0"/>
          <w:color w:val="000000"/>
          <w:sz w:val="21"/>
        </w:rPr>
        <w:t>Naming the difference does physical work.</w:t>
      </w:r>
      <w:r>
        <w:rPr>
          <w:rFonts w:ascii="Calibri" w:hAnsi="Calibri"/>
          <w:b w:val="0"/>
          <w:i w:val="0"/>
          <w:color w:val="000000"/>
          <w:sz w:val="21"/>
        </w:rPr>
        <w:t xml:space="preserve"> Deliberately comparing then and now engages the prefrontal</w:t>
      </w:r>
    </w:p>
    <w:p>
      <w:r>
        <w:rPr>
          <w:rFonts w:ascii="Calibri" w:hAnsi="Calibri"/>
          <w:b w:val="0"/>
          <w:i w:val="0"/>
          <w:color w:val="000000"/>
          <w:sz w:val="21"/>
        </w:rPr>
        <w:t>cortex and shifts the nervous system from automatic pattern-matching toward deliberate assessment.</w:t>
      </w:r>
    </w:p>
    <w:p>
      <w:r>
        <w:rPr>
          <w:rFonts w:ascii="Calibri" w:hAnsi="Calibri"/>
          <w:b/>
          <w:i w:val="0"/>
          <w:color w:val="000000"/>
          <w:sz w:val="21"/>
        </w:rPr>
        <w:t>In practice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a manager’s short email spikes real fear. What it recalls is a critical parent and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same drop in the stomach. One difference now: the clarifying question can be asked, and the job</w:t>
      </w:r>
    </w:p>
    <w:p>
      <w:r>
        <w:rPr>
          <w:rFonts w:ascii="Calibri" w:hAnsi="Calibri"/>
          <w:b w:val="0"/>
          <w:i w:val="0"/>
          <w:color w:val="000000"/>
          <w:sz w:val="21"/>
        </w:rPr>
        <w:t>can be left.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If-Then plans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Implementation intentions are strong: pre-committing a response in the exact format </w:t>
      </w:r>
      <w:r>
        <w:rPr>
          <w:rFonts w:ascii="Calibri" w:hAnsi="Calibri"/>
          <w:b w:val="0"/>
          <w:i/>
          <w:color w:val="000000"/>
          <w:sz w:val="21"/>
        </w:rPr>
        <w:t>"if [cue], then [response]"</w:t>
      </w:r>
      <w:r>
        <w:rPr>
          <w:rFonts w:ascii="Calibri" w:hAnsi="Calibri"/>
          <w:b w:val="0"/>
          <w:i w:val="0"/>
          <w:color w:val="000000"/>
          <w:sz w:val="21"/>
        </w:rPr>
        <w:t xml:space="preserve"> substantially improves follow-through, because the decision gets made while cognition</w:t>
      </w:r>
    </w:p>
    <w:p>
      <w:r>
        <w:rPr>
          <w:rFonts w:ascii="Calibri" w:hAnsi="Calibri"/>
          <w:b w:val="0"/>
          <w:i w:val="0"/>
          <w:color w:val="000000"/>
          <w:sz w:val="21"/>
        </w:rPr>
        <w:t>is still available — before the activation point is reached (Gollwitzer, 1999).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If I feel tension in my chest and shortened breath during a conversation → I say "I need one moment" and step out.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If I receive a critical message → I do not respond for twenty minutes. I run the Body Reset first.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If I am tired, hungry and receiving demands at the same time → I name this combination aloud and reduce the request load.</w:t>
      </w:r>
    </w:p>
    <w:p>
      <w:r>
        <w:rPr>
          <w:rFonts w:ascii="Calibri" w:hAnsi="Calibri"/>
          <w:b/>
          <w:i w:val="0"/>
          <w:color w:val="000000"/>
          <w:sz w:val="21"/>
        </w:rPr>
        <w:t>Write one this week.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onsolas" w:hAnsi="Consolas"/>
          <w:b w:val="0"/>
          <w:i w:val="0"/>
          <w:color w:val="000000"/>
          <w:sz w:val="21"/>
        </w:rPr>
        <w:t>WB 8.3</w:t>
      </w:r>
      <w:r>
        <w:rPr>
          <w:rFonts w:ascii="Calibri" w:hAnsi="Calibri"/>
          <w:b w:val="0"/>
          <w:i w:val="0"/>
          <w:color w:val="000000"/>
          <w:sz w:val="21"/>
        </w:rPr>
        <w:t xml:space="preserve"> has blank templates.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Trigger Map — six categories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Build this during a calm state. The full version is </w:t>
      </w:r>
      <w:r>
        <w:rPr>
          <w:rFonts w:ascii="Consolas" w:hAnsi="Consolas"/>
          <w:b w:val="0"/>
          <w:i w:val="0"/>
          <w:color w:val="000000"/>
          <w:sz w:val="21"/>
        </w:rPr>
        <w:t>WB 2.4</w:t>
      </w:r>
      <w:r>
        <w:rPr>
          <w:rFonts w:ascii="Calibri" w:hAnsi="Calibri"/>
          <w:b w:val="0"/>
          <w:i w:val="0"/>
          <w:color w:val="000000"/>
          <w:sz w:val="21"/>
        </w:rPr>
        <w:t>, and Session 11 covers it properly.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People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who reliably activates a stress response, and what specifically do they do?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Places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which environments shift your state, up or down?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Situations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conflict, evaluation, uncertainty, loss of control?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Sensory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sounds, smells, textures, tones of voice that carry associative weight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Time and state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when are you most vulnerable? After what conditions — tired, hungry, isolated,</w:t>
      </w:r>
    </w:p>
    <w:p>
      <w:r>
        <w:rPr>
          <w:rFonts w:ascii="Calibri" w:hAnsi="Calibri"/>
          <w:b w:val="0"/>
          <w:i w:val="0"/>
          <w:color w:val="000000"/>
          <w:sz w:val="21"/>
        </w:rPr>
        <w:t>overstimulated?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Early body signal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what's the first physical sign, before the full response arrives?</w:t>
      </w:r>
    </w:p>
    <w:p>
      <w:r>
        <w:rPr>
          <w:rFonts w:ascii="Calibri" w:hAnsi="Calibri"/>
          <w:b w:val="0"/>
          <w:i w:val="0"/>
          <w:color w:val="000000"/>
          <w:sz w:val="21"/>
        </w:rPr>
        <w:t>Earlier interruption is almost always more effective than later intervention. At the start of a</w:t>
      </w:r>
    </w:p>
    <w:p>
      <w:r>
        <w:rPr>
          <w:rFonts w:ascii="Calibri" w:hAnsi="Calibri"/>
          <w:b w:val="0"/>
          <w:i w:val="0"/>
          <w:color w:val="000000"/>
          <w:sz w:val="21"/>
        </w:rPr>
        <w:t>sequence the pathway hasn't fully activated; at the end, momentum is at its peak.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If you are supporting someone else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script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"Is what you are feeling matching what is actually happening right now, or does it feel larger?"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does this remind you of? When have you felt this before?"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is one difference between that time and this situation?"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do you have now that you didn't have then?"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For children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"That feeling is big. Is it about what is happening right now, or is part of it from before?"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"Show me with your hands: how big is the feeling right now?"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"This situation is different because… can you find one more?"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Never say this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Don't</w:t>
            </w:r>
          </w:p>
        </w:tc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Why it fails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"You're overreacting."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reaction is proportionate to the memory, even if not to the present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"Get over it."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Dismisses the Line entirely and increases shame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"That was years ago."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Time does not erase neural encoding. Only processing does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 always do this."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Reinforces the identity of the pattern rather than separating it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"It's not that serious."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Compares the present stimulus to the present reaction without acknowledging the source</w:t>
            </w:r>
          </w:p>
        </w:tc>
      </w:tr>
    </w:tbl>
    <w:p>
      <w:pPr>
        <w:spacing w:after="80"/>
      </w:pPr>
    </w:p>
    <w:p>
      <w:r>
        <w:rPr>
          <w:rFonts w:ascii="Calibri" w:hAnsi="Calibri"/>
          <w:b w:val="0"/>
          <w:i/>
          <w:color w:val="000000"/>
          <w:sz w:val="21"/>
        </w:rPr>
        <w:t>"You're overreacting"</w:t>
      </w:r>
      <w:r>
        <w:rPr>
          <w:rFonts w:ascii="Calibri" w:hAnsi="Calibri"/>
          <w:b w:val="0"/>
          <w:i w:val="0"/>
          <w:color w:val="000000"/>
          <w:sz w:val="21"/>
        </w:rPr>
        <w:t xml:space="preserve"> is technically wrong, not merely unkind. The reaction is exactly proportionate —</w:t>
      </w:r>
    </w:p>
    <w:p>
      <w:r>
        <w:rPr>
          <w:rFonts w:ascii="Calibri" w:hAnsi="Calibri"/>
          <w:b w:val="0"/>
          <w:i w:val="0"/>
          <w:color w:val="000000"/>
          <w:sz w:val="21"/>
        </w:rPr>
        <w:t>to something else.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helper note — the parent's own Line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most common reason a child's behaviour triggers an outsized parental response is that the child's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behaviour has activated a network from </w:t>
      </w:r>
      <w:r>
        <w:rPr>
          <w:rFonts w:ascii="Calibri" w:hAnsi="Calibri"/>
          <w:b/>
          <w:i w:val="0"/>
          <w:color w:val="000000"/>
          <w:sz w:val="21"/>
        </w:rPr>
        <w:t>the parent's own Line</w:t>
      </w:r>
      <w:r>
        <w:rPr>
          <w:rFonts w:ascii="Calibri" w:hAnsi="Calibri"/>
          <w:b w:val="0"/>
          <w:i w:val="0"/>
          <w:color w:val="000000"/>
          <w:sz w:val="21"/>
        </w:rPr>
        <w:t>. A child's defiance may activate</w:t>
      </w:r>
    </w:p>
    <w:p>
      <w:r>
        <w:rPr>
          <w:rFonts w:ascii="Calibri" w:hAnsi="Calibri"/>
          <w:b w:val="0"/>
          <w:i w:val="0"/>
          <w:color w:val="000000"/>
          <w:sz w:val="21"/>
        </w:rPr>
        <w:t>memories of helplessness. A child's distress may activate the parent's own unprocessed grief.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The Line Protocol is therefore a parenting tool, and you run it on </w:t>
      </w:r>
      <w:r>
        <w:rPr>
          <w:rFonts w:ascii="Calibri" w:hAnsi="Calibri"/>
          <w:b/>
          <w:i w:val="0"/>
          <w:color w:val="000000"/>
          <w:sz w:val="21"/>
        </w:rPr>
        <w:t>yourself</w:t>
      </w:r>
      <w:r>
        <w:rPr>
          <w:rFonts w:ascii="Calibri" w:hAnsi="Calibri"/>
          <w:b w:val="0"/>
          <w:i w:val="0"/>
          <w:color w:val="000000"/>
          <w:sz w:val="21"/>
        </w:rPr>
        <w:t>. Recognising when your</w:t>
      </w:r>
    </w:p>
    <w:p>
      <w:r>
        <w:rPr>
          <w:rFonts w:ascii="Calibri" w:hAnsi="Calibri"/>
          <w:b w:val="0"/>
          <w:i w:val="0"/>
          <w:color w:val="000000"/>
          <w:sz w:val="21"/>
        </w:rPr>
        <w:t>response belongs to your Line rather than to the present moment is one of the most impactful things a</w:t>
      </w:r>
    </w:p>
    <w:p>
      <w:r>
        <w:rPr>
          <w:rFonts w:ascii="Calibri" w:hAnsi="Calibri"/>
          <w:b w:val="0"/>
          <w:i w:val="0"/>
          <w:color w:val="000000"/>
          <w:sz w:val="21"/>
        </w:rPr>
        <w:t>parent can do — for the child and for the relationship. The same applies to partners, and to anyone you</w:t>
      </w:r>
    </w:p>
    <w:p>
      <w:r>
        <w:rPr>
          <w:rFonts w:ascii="Calibri" w:hAnsi="Calibri"/>
          <w:b w:val="0"/>
          <w:i w:val="0"/>
          <w:color w:val="000000"/>
          <w:sz w:val="21"/>
        </w:rPr>
        <w:t>support.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Operational Rule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The reaction belongs to the Line. The response belongs to the Now.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This week — one thing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Write </w:t>
      </w:r>
      <w:r>
        <w:rPr>
          <w:rFonts w:ascii="Calibri" w:hAnsi="Calibri"/>
          <w:b/>
          <w:i w:val="0"/>
          <w:color w:val="000000"/>
          <w:sz w:val="21"/>
        </w:rPr>
        <w:t>one If-Then plan</w:t>
      </w:r>
      <w:r>
        <w:rPr>
          <w:rFonts w:ascii="Calibri" w:hAnsi="Calibri"/>
          <w:b w:val="0"/>
          <w:i w:val="0"/>
          <w:color w:val="000000"/>
          <w:sz w:val="21"/>
        </w:rPr>
        <w:t>. That's the whole assignment, and it's small on purpose.</w:t>
      </w:r>
    </w:p>
    <w:p>
      <w:r>
        <w:rPr>
          <w:rFonts w:ascii="Calibri" w:hAnsi="Calibri"/>
          <w:b w:val="0"/>
          <w:i w:val="0"/>
          <w:color w:val="000000"/>
          <w:sz w:val="21"/>
        </w:rPr>
        <w:t>If tonight stays with you: run the Body Reset before bed. The numbers at the top of this page work all</w:t>
      </w:r>
    </w:p>
    <w:p>
      <w:r>
        <w:rPr>
          <w:rFonts w:ascii="Calibri" w:hAnsi="Calibri"/>
          <w:b w:val="0"/>
          <w:i w:val="0"/>
          <w:color w:val="000000"/>
          <w:sz w:val="21"/>
        </w:rPr>
        <w:t>night, every night.</w:t>
      </w:r>
    </w:p>
    <w:p>
      <w:r>
        <w:rPr>
          <w:rFonts w:ascii="Calibri" w:hAnsi="Calibri"/>
          <w:b/>
          <w:i w:val="0"/>
          <w:color w:val="000000"/>
          <w:sz w:val="21"/>
        </w:rPr>
        <w:t>In the workbook: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onsolas" w:hAnsi="Consolas"/>
          <w:b w:val="0"/>
          <w:i w:val="0"/>
          <w:color w:val="000000"/>
          <w:sz w:val="21"/>
        </w:rPr>
        <w:t>WB 1.4</w:t>
      </w:r>
      <w:r>
        <w:rPr>
          <w:rFonts w:ascii="Calibri" w:hAnsi="Calibri"/>
          <w:b w:val="0"/>
          <w:i w:val="0"/>
          <w:color w:val="000000"/>
          <w:sz w:val="21"/>
        </w:rPr>
        <w:t xml:space="preserve"> builds your own version. </w:t>
      </w:r>
      <w:r>
        <w:rPr>
          <w:rFonts w:ascii="Consolas" w:hAnsi="Consolas"/>
          <w:b w:val="0"/>
          <w:i w:val="0"/>
          <w:color w:val="000000"/>
          <w:sz w:val="21"/>
        </w:rPr>
        <w:t>WB 2.4</w:t>
      </w:r>
      <w:r>
        <w:rPr>
          <w:rFonts w:ascii="Calibri" w:hAnsi="Calibri"/>
          <w:b w:val="0"/>
          <w:i w:val="0"/>
          <w:color w:val="000000"/>
          <w:sz w:val="21"/>
        </w:rPr>
        <w:t xml:space="preserve"> is the full trigger map. </w:t>
      </w:r>
      <w:r>
        <w:rPr>
          <w:rFonts w:ascii="Consolas" w:hAnsi="Consolas"/>
          <w:b w:val="0"/>
          <w:i w:val="0"/>
          <w:color w:val="000000"/>
          <w:sz w:val="21"/>
        </w:rPr>
        <w:t>WB 8.3</w:t>
      </w:r>
      <w:r>
        <w:rPr>
          <w:rFonts w:ascii="Calibri" w:hAnsi="Calibri"/>
          <w:b w:val="0"/>
          <w:i w:val="0"/>
          <w:color w:val="000000"/>
          <w:sz w:val="21"/>
        </w:rPr>
        <w:t xml:space="preserve"> has</w:t>
      </w:r>
    </w:p>
    <w:p>
      <w:r>
        <w:rPr>
          <w:rFonts w:ascii="Calibri" w:hAnsi="Calibri"/>
          <w:b w:val="0"/>
          <w:i w:val="0"/>
          <w:color w:val="000000"/>
          <w:sz w:val="21"/>
        </w:rPr>
        <w:t>blank If-Then templates.</w:t>
      </w:r>
    </w:p>
    <w:p>
      <w:r>
        <w:rPr>
          <w:rFonts w:ascii="Calibri" w:hAnsi="Calibri"/>
          <w:b/>
          <w:i w:val="0"/>
          <w:color w:val="000000"/>
          <w:sz w:val="21"/>
        </w:rPr>
        <w:t>If you need next: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activation has become a repeating loop → Session 5 (next week). The body is</w:t>
      </w:r>
    </w:p>
    <w:p>
      <w:r>
        <w:rPr>
          <w:rFonts w:ascii="Calibri" w:hAnsi="Calibri"/>
          <w:b w:val="0"/>
          <w:i w:val="0"/>
          <w:color w:val="000000"/>
          <w:sz w:val="21"/>
        </w:rPr>
        <w:t>too activated to think → Session 2. You want the full trigger map → Session 11.</w:t>
      </w:r>
    </w:p>
    <w:p>
      <w:pPr>
        <w:pBdr>
          <w:bottom w:val="single" w:sz="4" w:space="6" w:color="CBD5E1"/>
        </w:pBdr>
        <w:spacing w:after="120"/>
      </w:pPr>
    </w:p>
    <w:p>
      <w:r>
        <w:rPr>
          <w:rFonts w:ascii="Calibri" w:hAnsi="Calibri"/>
          <w:b w:val="0"/>
          <w:i/>
          <w:color w:val="000000"/>
          <w:sz w:val="21"/>
        </w:rPr>
        <w:t>Equipped With Agency</w:t>
      </w:r>
      <w:r>
        <w:rPr>
          <w:rFonts w:ascii="Calibri" w:hAnsi="Calibri"/>
          <w:b w:val="0"/>
          <w:i w:val="0"/>
          <w:color w:val="000000"/>
          <w:sz w:val="21"/>
        </w:rPr>
        <w:t xml:space="preserve"> · Session 4 of 17 · Next week: </w:t>
      </w:r>
      <w:r>
        <w:rPr>
          <w:rFonts w:ascii="Calibri" w:hAnsi="Calibri"/>
          <w:b/>
          <w:i w:val="0"/>
          <w:color w:val="000000"/>
          <w:sz w:val="21"/>
        </w:rPr>
        <w:t>The Circle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Sources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full entries for the research named on this page. Every one of them is also in the reference list at the back of the manual.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Reconstructive memory: Loftus, E.F. (1996). Eyewitness Testimony. Harvard University Press. Loftus, E.F. &amp; Palmer, J.C. (1974). Journal of Verbal Learning and Verbal Behavior, 13(5), 585–589.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Implementation intentions: Gollwitzer, P.M. (1999). American Psychologist, 54(7), 493–503.</w:t>
      </w:r>
    </w:p>
    <w:p>
      <w:pPr>
        <w:pBdr>
          <w:top w:val="single" w:sz="4" w:space="6" w:color="CBD5E1"/>
        </w:pBdr>
        <w:spacing w:before="200"/>
      </w:pPr>
      <w:r>
        <w:rPr>
          <w:color w:val="64748B"/>
          <w:sz w:val="16"/>
        </w:rPr>
        <w:t>Equipped With Agency v1.0 · Session 4 of 17. Every session online at equippedwithagency.ca/h</w:t>
      </w:r>
    </w:p>
    <w:sectPr w:rsidR="00FC693F" w:rsidRPr="0006063C" w:rsidSect="00034616">
      <w:footerReference w:type="default" r:id="rId9"/>
      <w:pgSz w:w="12240" w:h="15840"/>
      <w:pgMar w:top="1008" w:right="1080" w:bottom="1224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999999"/>
      </w:pBdr>
      <w:spacing w:before="40" w:after="0"/>
    </w:pPr>
    <w:r>
      <w:rPr>
        <w:rFonts w:ascii="Calibri" w:hAnsi="Calibri"/>
        <w:b/>
        <w:color w:val="000000"/>
        <w:sz w:val="15"/>
      </w:rPr>
      <w:t>9-8-8</w:t>
    </w:r>
    <w:r>
      <w:rPr>
        <w:color w:val="64748B"/>
        <w:sz w:val="14"/>
      </w:rPr>
      <w:t xml:space="preserve"> call or text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911</w:t>
    </w:r>
    <w:r>
      <w:rPr>
        <w:color w:val="64748B"/>
        <w:sz w:val="14"/>
      </w:rPr>
      <w:t xml:space="preserve"> emergency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1-800-668-6868</w:t>
    </w:r>
    <w:r>
      <w:rPr>
        <w:color w:val="64748B"/>
        <w:sz w:val="14"/>
      </w:rPr>
      <w:t xml:space="preserve"> Kids Help Phone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1-855-242-3310</w:t>
    </w:r>
    <w:r>
      <w:rPr>
        <w:color w:val="64748B"/>
        <w:sz w:val="14"/>
      </w:rPr>
      <w:t xml:space="preserve"> Hope for Wellness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Equipped With Agency — Workshop Series</dc:title>
  <dc:subject>Session 4 handout — The Line</dc:subject>
  <dc:creator>William D. Hannam</dc:creator>
  <cp:keywords>Equipped With Agency; Workshop Series; v1.0; peer support; non-clinical</cp:keywords>
  <dc:description>v1.0. Conformed to EWA_Slide_Design_Guide v1.0: guide palette, 20pt type floor, nine slide archetypes.</dc:description>
  <cp:lastModifiedBy/>
  <cp:revision>1</cp:revision>
  <dcterms:created xsi:type="dcterms:W3CDTF">2013-12-23T23:15:00Z</dcterms:created>
  <dcterms:modified xsi:type="dcterms:W3CDTF">2013-12-23T23:15:00Z</dcterms:modified>
  <cp:category>Workshop Series v1.0</cp:category>
</cp:coreProperties>
</file>